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503E07">
              <w:rPr>
                <w:b/>
                <w:bCs/>
                <w:sz w:val="28"/>
                <w:szCs w:val="28"/>
              </w:rPr>
              <w:t>а 2</w:t>
            </w:r>
            <w:r>
              <w:rPr>
                <w:b/>
                <w:bCs/>
                <w:sz w:val="28"/>
                <w:szCs w:val="28"/>
              </w:rPr>
              <w:t xml:space="preserve"> квартал 2020г.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BE42BE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Методические материалы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поступлении подобных обращений Комиссия проводит </w:t>
            </w: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Педагогический совет – от 27.08.2020г. 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Отчет о выполнении муниципального задания в ОО за 1 квартал, 2 квартал 2020 г.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Муниципальное задание на 2020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В соответствии с программой развития образовательной организации на период до 2020 г.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Программа противодействия коррупции в образовательном учреждении на 2019-2024 г. г.</w:t>
            </w:r>
            <w:proofErr w:type="gramStart"/>
            <w:r w:rsidRPr="00BB37F8">
              <w:t xml:space="preserve"> ;</w:t>
            </w:r>
            <w:proofErr w:type="gramEnd"/>
            <w:r w:rsidRPr="00BB37F8">
              <w:t xml:space="preserve">  Приказ от 28.08.2020г.№ 69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503E07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lastRenderedPageBreak/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 xml:space="preserve">Нижегородской области» от 9 июня 2014 года № 1379 (в ред. приказов Министерства образования, науки и молодежной политики Нижегородской области от 16 декабря 2014 г., от 28 апреля 2019 г. № 1839, от 30 ноября 2019 г. № 4027, от 16 октября 2017 г. № </w:t>
            </w:r>
            <w:r w:rsidRPr="00BB37F8">
              <w:lastRenderedPageBreak/>
              <w:t>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</w:t>
            </w: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</w:t>
            </w:r>
            <w:r w:rsidRPr="00BB37F8">
              <w:lastRenderedPageBreak/>
              <w:t xml:space="preserve">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МБОО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За 2020г.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</w:t>
            </w:r>
            <w:r w:rsidRPr="00BB37F8">
              <w:lastRenderedPageBreak/>
              <w:t xml:space="preserve">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3D288A"/>
    <w:rsid w:val="004E2E7D"/>
    <w:rsid w:val="00503E07"/>
    <w:rsid w:val="00574EDF"/>
    <w:rsid w:val="005A76A8"/>
    <w:rsid w:val="0074369F"/>
    <w:rsid w:val="007F210D"/>
    <w:rsid w:val="008332D1"/>
    <w:rsid w:val="009E6593"/>
    <w:rsid w:val="00BB37F8"/>
    <w:rsid w:val="00BE42BE"/>
    <w:rsid w:val="00D74396"/>
    <w:rsid w:val="00D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irAl</cp:lastModifiedBy>
  <cp:revision>6</cp:revision>
  <cp:lastPrinted>2021-02-04T13:19:00Z</cp:lastPrinted>
  <dcterms:created xsi:type="dcterms:W3CDTF">2021-02-04T13:04:00Z</dcterms:created>
  <dcterms:modified xsi:type="dcterms:W3CDTF">2021-02-04T13:29:00Z</dcterms:modified>
</cp:coreProperties>
</file>